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08" w:rsidRPr="004F7F4E" w:rsidRDefault="00321408" w:rsidP="00321408">
      <w:pPr>
        <w:tabs>
          <w:tab w:val="left" w:pos="538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eastAsia="Calibri"/>
          <w:b/>
        </w:rPr>
        <w:t xml:space="preserve"> </w:t>
      </w:r>
      <w:r>
        <w:rPr>
          <w:b/>
          <w:szCs w:val="28"/>
        </w:rPr>
        <w:t xml:space="preserve"> </w:t>
      </w:r>
      <w:r w:rsidRPr="004F7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F4E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4F7F4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F7F4E">
        <w:rPr>
          <w:rFonts w:ascii="Times New Roman" w:eastAsia="Andale Sans UI" w:hAnsi="Times New Roman" w:cs="Times New Roman"/>
          <w:b/>
          <w:kern w:val="2"/>
          <w:sz w:val="28"/>
          <w:szCs w:val="28"/>
          <w:lang w:val="uk-UA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3.35pt" o:ole="" filled="t">
            <v:fill color2="black"/>
            <v:imagedata r:id="rId7" o:title=""/>
          </v:shape>
          <o:OLEObject Type="Embed" ProgID="Word.Picture.8" ShapeID="_x0000_i1025" DrawAspect="Content" ObjectID="_1754216219" r:id="rId8"/>
        </w:object>
      </w:r>
    </w:p>
    <w:p w:rsidR="00321408" w:rsidRPr="004F7F4E" w:rsidRDefault="00321408" w:rsidP="0032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F7F4E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321408" w:rsidRPr="004F7F4E" w:rsidRDefault="00321408" w:rsidP="0032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F4E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321408" w:rsidRPr="004F7F4E" w:rsidRDefault="00321408" w:rsidP="0032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7F4E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321408" w:rsidRPr="00DD6C7B" w:rsidRDefault="00321408" w:rsidP="00321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F4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F7F4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F7F4E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4F7F4E">
        <w:rPr>
          <w:rFonts w:ascii="Times New Roman" w:hAnsi="Times New Roman" w:cs="Times New Roman"/>
          <w:sz w:val="28"/>
          <w:szCs w:val="28"/>
        </w:rPr>
        <w:t xml:space="preserve"> </w:t>
      </w:r>
      <w:r w:rsidRPr="004F7F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21408" w:rsidRPr="00DD6C7B" w:rsidRDefault="00321408" w:rsidP="0032140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408" w:rsidRPr="00B67154" w:rsidRDefault="00321408" w:rsidP="0032140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5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та доповнень до рішення Арцизької міської ради  </w:t>
      </w: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 21 липня 2023 року № 1799-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3B1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затвердження Програми  підтримки Збройних Сил України </w:t>
      </w:r>
      <w:r w:rsidRPr="003825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підрозділів територіальної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оборони, розташованих на території Арцизької міської територіальної громади, </w:t>
      </w:r>
      <w:r w:rsidRPr="003825F9">
        <w:rPr>
          <w:rFonts w:ascii="Times New Roman" w:hAnsi="Times New Roman" w:cs="Times New Roman"/>
          <w:b/>
          <w:sz w:val="28"/>
          <w:szCs w:val="28"/>
          <w:lang w:val="uk-UA"/>
        </w:rPr>
        <w:t>на 2023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21408" w:rsidRPr="003825F9" w:rsidRDefault="00321408" w:rsidP="0032140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408" w:rsidRPr="00800226" w:rsidRDefault="00321408" w:rsidP="003214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пунктом 22 частиною 1 статті 26</w:t>
      </w:r>
      <w:r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статтею </w:t>
      </w:r>
      <w:r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статтею 91 Бюджетного кодексу України, </w:t>
      </w:r>
      <w:r w:rsidRP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Указів Президента України від 24 лютого 2022 року № 64/2022 «Про введення воєнного стану в Україні», від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26 липня 2023 року №451/2023</w:t>
      </w:r>
      <w:r w:rsidRP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«Про продовження строку дії воєнного стану в Україні»</w:t>
      </w:r>
      <w:r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3C10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метою додаткового матеріально-технічного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забезпечення військових частин Збройних С</w:t>
      </w:r>
      <w:r w:rsidRPr="003C104E">
        <w:rPr>
          <w:rFonts w:ascii="Times New Roman" w:hAnsi="Times New Roman" w:cs="Times New Roman"/>
          <w:sz w:val="28"/>
          <w:szCs w:val="28"/>
          <w:lang w:val="uk-UA" w:eastAsia="uk-UA"/>
        </w:rPr>
        <w:t>ил України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підрозділів територіальної оборони, розташованих на території Арцизької міської територіальної громади,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Арцизька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  <w:r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21408" w:rsidRPr="004F741B" w:rsidRDefault="00321408" w:rsidP="003214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741B">
        <w:rPr>
          <w:rFonts w:ascii="Times New Roman" w:hAnsi="Times New Roman" w:cs="Times New Roman"/>
          <w:sz w:val="28"/>
          <w:szCs w:val="28"/>
          <w:lang w:val="uk-UA"/>
        </w:rPr>
        <w:t xml:space="preserve">     ВИРІШИЛА:</w:t>
      </w: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та доповнення до рішення Арцизької міської ради від 21 липня 2023 року «Про затвердження </w:t>
      </w:r>
      <w:r w:rsidRPr="003C104E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підтримки Збройних Сил </w:t>
      </w:r>
      <w:r w:rsidRPr="003C104E">
        <w:rPr>
          <w:rFonts w:ascii="Times New Roman" w:hAnsi="Times New Roman" w:cs="Times New Roman"/>
          <w:sz w:val="28"/>
          <w:szCs w:val="28"/>
          <w:lang w:val="uk-UA"/>
        </w:rPr>
        <w:t xml:space="preserve">України та підрозділів територіальної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оборони, розташованих на території Арцизької міської територіальної громади, </w:t>
      </w:r>
      <w:r w:rsidRPr="003C104E">
        <w:rPr>
          <w:rFonts w:ascii="Times New Roman" w:hAnsi="Times New Roman" w:cs="Times New Roman"/>
          <w:sz w:val="28"/>
          <w:szCs w:val="28"/>
          <w:lang w:val="uk-UA"/>
        </w:rPr>
        <w:t>на 2023 рік</w:t>
      </w:r>
      <w:r>
        <w:rPr>
          <w:rFonts w:ascii="Times New Roman" w:hAnsi="Times New Roman" w:cs="Times New Roman"/>
          <w:sz w:val="28"/>
          <w:szCs w:val="28"/>
          <w:lang w:val="uk-UA"/>
        </w:rPr>
        <w:t>», виклавши Програму</w:t>
      </w:r>
      <w:r w:rsidRPr="00B67154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Збройних Сил України та підрозділів територіальної оборони, розташованих на території Арцизької міської територіальної громади, на 2023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(додається).</w:t>
      </w:r>
    </w:p>
    <w:p w:rsidR="00321408" w:rsidRPr="00835970" w:rsidRDefault="00321408" w:rsidP="0032140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постійну комісію міської ради з питань фінансів, бюджету, соціально-економічного розвитку та інвестиційної діяльності.</w:t>
      </w:r>
    </w:p>
    <w:p w:rsidR="00321408" w:rsidRPr="00800226" w:rsidRDefault="00321408" w:rsidP="00321408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21408" w:rsidRDefault="00321408" w:rsidP="00321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321408" w:rsidRDefault="00321408" w:rsidP="00321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408" w:rsidRDefault="00321408" w:rsidP="00321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321408" w:rsidRPr="00800226" w:rsidRDefault="00321408" w:rsidP="00321408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№1843-VІІІ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55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21408" w:rsidSect="008359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321408" w:rsidRPr="00AB2C42" w:rsidRDefault="00321408" w:rsidP="00321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Додаток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</w:p>
    <w:p w:rsidR="00321408" w:rsidRPr="00AB2C42" w:rsidRDefault="00321408" w:rsidP="00321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до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рішення  Арцизької міської ради</w:t>
      </w:r>
    </w:p>
    <w:p w:rsidR="00321408" w:rsidRDefault="00321408" w:rsidP="003214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pacing w:val="-2"/>
          <w:sz w:val="24"/>
          <w:szCs w:val="24"/>
          <w:lang w:val="uk-UA" w:eastAsia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від 18 серпня 2023 року № 1843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-VIII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21408" w:rsidRPr="00321408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-2"/>
          <w:sz w:val="28"/>
          <w:szCs w:val="28"/>
          <w:lang w:val="uk-UA" w:eastAsia="uk-UA"/>
        </w:rPr>
      </w:pPr>
    </w:p>
    <w:p w:rsidR="00321408" w:rsidRPr="00321408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-2"/>
          <w:sz w:val="28"/>
          <w:szCs w:val="28"/>
          <w:lang w:val="uk-UA" w:eastAsia="uk-UA"/>
        </w:rPr>
      </w:pPr>
      <w:r w:rsidRPr="00321408">
        <w:rPr>
          <w:rFonts w:ascii="Times New Roman" w:eastAsia="Times New Roman" w:hAnsi="Times New Roman" w:cs="Times New Roman"/>
          <w:b/>
          <w:bCs/>
          <w:caps/>
          <w:spacing w:val="-2"/>
          <w:sz w:val="28"/>
          <w:szCs w:val="28"/>
          <w:lang w:val="uk-UA" w:eastAsia="uk-UA"/>
        </w:rPr>
        <w:t xml:space="preserve">програмА </w:t>
      </w:r>
    </w:p>
    <w:p w:rsidR="00321408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підтримки Збройних С</w:t>
      </w:r>
      <w:r w:rsidRPr="007F1900">
        <w:rPr>
          <w:rFonts w:ascii="Times New Roman" w:hAnsi="Times New Roman" w:cs="Times New Roman"/>
          <w:b/>
          <w:sz w:val="28"/>
          <w:szCs w:val="28"/>
          <w:lang w:val="uk-UA"/>
        </w:rPr>
        <w:t>ил України та підрозділів територіальної оборони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7F1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розташованих на території Арцизької міської 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7F1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21408" w:rsidRPr="007F1900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ru-RU"/>
        </w:rPr>
      </w:pPr>
      <w:r w:rsidRPr="007F1900">
        <w:rPr>
          <w:rFonts w:ascii="Times New Roman" w:hAnsi="Times New Roman" w:cs="Times New Roman"/>
          <w:b/>
          <w:sz w:val="28"/>
          <w:szCs w:val="28"/>
          <w:lang w:val="uk-UA"/>
        </w:rPr>
        <w:t>на 2023 рік</w:t>
      </w:r>
    </w:p>
    <w:p w:rsidR="00321408" w:rsidRPr="0057436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2140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І. </w:t>
      </w:r>
      <w:r w:rsidRPr="007F190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Визначення проблеми, на розв’язання якої спрямована Програма</w:t>
      </w:r>
    </w:p>
    <w:p w:rsidR="0032140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Програма підтримки Збройних С</w:t>
      </w:r>
      <w:r w:rsidRPr="00A56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ил України та підрозділів територіальної оборони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A56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розташованих на території Арцизької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A56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2023 рік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«Про оборону України», «Про З</w:t>
      </w:r>
      <w:r w:rsidRPr="00A56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бройні Сили України», «Про військовий обов’язок і військову службу», «Пр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 основи національного спротиву»</w:t>
      </w:r>
      <w:r w:rsidRPr="00A56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Указу Президента України №64/2022 «Про введення військового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2140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У зв’язку </w:t>
      </w:r>
      <w:r w:rsidRPr="004F7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недостатнім наповненням та дефіци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том Державного бюджету України існує</w:t>
      </w:r>
      <w:r w:rsidRPr="004F7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потреба в матеріально-технічному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забезпеченні військових частин </w:t>
      </w:r>
      <w:r w:rsidRPr="004F7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Збройних Сил України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інших військових формувань, а </w:t>
      </w:r>
      <w:r w:rsidRPr="004F7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тому є потреба у здійсненні додаткового фінансування матеріальних та побутових потреб військових частин з бюджету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Арцизької міської </w:t>
      </w:r>
      <w:r w:rsidRPr="004F7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40F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надання всебічної допомоги з придбання не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обхідного майна  для  військової</w:t>
      </w:r>
      <w:r w:rsidRPr="00E40F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частин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 А7350</w:t>
      </w:r>
      <w:r w:rsidRPr="00C27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яка бере </w:t>
      </w:r>
      <w:r w:rsidRPr="00E40F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участь у захисті суверенітету нашої держави та викону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ють</w:t>
      </w:r>
      <w:r w:rsidRPr="00E40F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бойові завдання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розроблена Програма підтримки Збройних С</w:t>
      </w:r>
      <w:r w:rsidRPr="00D15F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ил України та підрозділів територіальної оборони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D15F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розташованих на території Арцизької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D15F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2023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321408" w:rsidRPr="00D15F5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15F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D15F58">
        <w:rPr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D15F58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підтримки Збройних С</w:t>
      </w:r>
      <w:r w:rsidRPr="00D15F58">
        <w:rPr>
          <w:rFonts w:ascii="Times New Roman" w:hAnsi="Times New Roman" w:cs="Times New Roman"/>
          <w:sz w:val="28"/>
          <w:szCs w:val="28"/>
          <w:lang w:val="uk-UA"/>
        </w:rPr>
        <w:t>ил України та підрозділів територіальної оборони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5F58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на території Арцизької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5F58">
        <w:rPr>
          <w:rFonts w:ascii="Times New Roman" w:hAnsi="Times New Roman" w:cs="Times New Roman"/>
          <w:sz w:val="28"/>
          <w:szCs w:val="28"/>
          <w:lang w:val="uk-UA"/>
        </w:rPr>
        <w:t xml:space="preserve"> на 2023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F58">
        <w:rPr>
          <w:rFonts w:ascii="Times New Roman" w:hAnsi="Times New Roman" w:cs="Times New Roman"/>
          <w:sz w:val="28"/>
          <w:szCs w:val="28"/>
          <w:lang w:val="uk-UA"/>
        </w:rPr>
        <w:t>наведено у Додатку 1 до Програми.</w:t>
      </w:r>
    </w:p>
    <w:p w:rsidR="00321408" w:rsidRPr="006C0E7B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21408" w:rsidRPr="008D4B56" w:rsidRDefault="00321408" w:rsidP="00321408">
      <w:pPr>
        <w:pStyle w:val="aa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ІІ. </w:t>
      </w:r>
      <w:r w:rsidRPr="008D4B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Програми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є: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належних умов для якісного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завдань та підтримки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високого рівня боєготовності військових частин та інших підрозділів Збройних Сил України;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обороноздатності та мобілізаційної  готовності держави;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покращення матеріально-технічного заб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езпечення підрозділів територіальної оборони, </w:t>
      </w:r>
      <w:r w:rsidRPr="007656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розташовані на території Арцизької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Збройних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 України;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налагодження ефек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тивного цивільно-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військового співробітництва;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 умов  для  повноцінної  підготов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  до  виконання  поставлених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завдань перед військовими частинами;</w:t>
      </w:r>
    </w:p>
    <w:p w:rsidR="00321408" w:rsidRPr="00AA027A" w:rsidRDefault="00321408" w:rsidP="0032140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зміцнення  співпраці  між  органами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 самоврядування  та </w:t>
      </w:r>
      <w:r w:rsidRPr="00AA02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військовими формуваннями.</w:t>
      </w:r>
    </w:p>
    <w:p w:rsidR="00321408" w:rsidRDefault="00321408" w:rsidP="0032140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1408" w:rsidRPr="006C0E7B" w:rsidRDefault="00321408" w:rsidP="0032140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IІІ</w:t>
      </w:r>
      <w:r w:rsidRPr="006C0E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Шляхи і засоби розв'язання проблеми, обсяги і джерела фінансування, строки виконання Програми</w:t>
      </w:r>
    </w:p>
    <w:p w:rsidR="00321408" w:rsidRPr="005203C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20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України. </w:t>
      </w:r>
    </w:p>
    <w:p w:rsidR="00321408" w:rsidRPr="005203C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20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спрямована на вирішення наступних завдань:</w:t>
      </w:r>
    </w:p>
    <w:p w:rsidR="00321408" w:rsidRPr="005203C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покращення </w:t>
      </w:r>
      <w:r w:rsidRPr="00520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іально-технічного забезпечення військових частин </w:t>
      </w:r>
      <w:r w:rsidRPr="00520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Збройних Сил України шляхом:</w:t>
      </w:r>
    </w:p>
    <w:p w:rsidR="0032140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придбання предметів, матеріалів, обладнання та інвентарю; </w:t>
      </w:r>
    </w:p>
    <w:p w:rsidR="0032140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придбання обладнання і предметів довгострокового користування;</w:t>
      </w:r>
    </w:p>
    <w:p w:rsidR="00321408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56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централізованого забезпечення необхідної матеріально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56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бази, військовим обладнанням та технікою для Зброй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Сил України за </w:t>
      </w:r>
      <w:r w:rsidRPr="00356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поданнями потреб командування Збройних Сил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1408" w:rsidRPr="006C0E7B" w:rsidRDefault="00321408" w:rsidP="0032140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Напрямки діяльності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заходи Програми викладені в Додатку 3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1408" w:rsidRDefault="00321408" w:rsidP="0032140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проводиться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асигнувань, затверджених рішенням про бюджет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Арцизької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по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гальному та спеціальному фондах. 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розпорядником коштів, 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відповідальним виконавцем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Арцизька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</w:t>
      </w:r>
      <w:r w:rsidRPr="00DF2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сування Програми здійснюється за рахунок 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Арцизької міської територіальної громади та інших джерел, не заборонених чинним законодавством України.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21408" w:rsidRDefault="00321408" w:rsidP="0032140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Фінансування </w:t>
      </w:r>
      <w:r w:rsidRPr="00D92B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централізованого забезпечення необхідної матеріально технічної бази, військовим обладнанням та технікою для Збройних Сил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здійснюється на підставі договору </w:t>
      </w:r>
      <w:r w:rsidRPr="00D92B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передачу коштів у вигляді міжбюджетн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трансфертів іншої субвенції </w:t>
      </w:r>
      <w:r w:rsidRPr="00D92B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бюджету Арцизької міської територіальної громади до обласного бюджету Одеської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92B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укладеного між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Арцизькою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міською радою та Одеською обласною державною (військовою) адміністрацією.</w:t>
      </w:r>
    </w:p>
    <w:p w:rsidR="00321408" w:rsidRPr="006C0E7B" w:rsidRDefault="00321408" w:rsidP="0032140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Обсяг і джерела фінансування Програми викладені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одатку 2.</w:t>
      </w:r>
    </w:p>
    <w:p w:rsidR="00321408" w:rsidRPr="00526ED4" w:rsidRDefault="00321408" w:rsidP="00321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0E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 розрахована на </w:t>
      </w:r>
      <w:r w:rsidRPr="00526E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 рік з моменту її затвердження.</w:t>
      </w:r>
    </w:p>
    <w:p w:rsidR="00321408" w:rsidRPr="006C0E7B" w:rsidRDefault="00321408" w:rsidP="00321408">
      <w:pPr>
        <w:tabs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1408" w:rsidRDefault="00321408" w:rsidP="00321408">
      <w:pPr>
        <w:spacing w:after="0" w:line="240" w:lineRule="atLeast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6C0E7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6C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C0E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 і</w:t>
      </w:r>
      <w:r w:rsidRPr="006C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C0E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ефективність Програми</w:t>
      </w:r>
    </w:p>
    <w:p w:rsidR="00321408" w:rsidRDefault="00321408" w:rsidP="00321408">
      <w:pPr>
        <w:tabs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D10AF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Програми сприятиме вирішенню питань за тими напрямами, де спостерігається дефіцит ресурсів з державного бюджету, та забезпечить виконання завдань територіальної оборони, зокрема підвищення рівня функціонування підрозділів територіальної оборони та військових частин розташованих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Арцизької міської територіальної громади</w:t>
      </w:r>
      <w:r w:rsidRPr="00BD10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321408" w:rsidRPr="00BD10AF" w:rsidRDefault="00321408" w:rsidP="00321408">
      <w:pPr>
        <w:tabs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D10AF">
        <w:rPr>
          <w:rFonts w:ascii="Times New Roman" w:hAnsi="Times New Roman" w:cs="Times New Roman"/>
          <w:sz w:val="28"/>
          <w:szCs w:val="28"/>
          <w:lang w:val="uk-UA"/>
        </w:rPr>
        <w:t>Показники ефективності Програми визначаються за результатами моніторингу її виконання</w:t>
      </w:r>
    </w:p>
    <w:p w:rsidR="00321408" w:rsidRDefault="00321408" w:rsidP="00321408">
      <w:pPr>
        <w:tabs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21408" w:rsidRPr="00E2775B" w:rsidRDefault="00321408" w:rsidP="00321408">
      <w:pPr>
        <w:tabs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2775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V. Контроль за виконанням Програми.</w:t>
      </w:r>
    </w:p>
    <w:p w:rsidR="00321408" w:rsidRPr="00EB090E" w:rsidRDefault="00321408" w:rsidP="0032140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7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Координація робіт з виконання Програми та контроль за ходом</w:t>
      </w:r>
      <w:r w:rsidRPr="006C0E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 реалізації здійснює постійна комісія міської ради з питань фінансів, бюджету, соціально-економічного розвитку та інвестиційної діяльності. Відповідальним за надання інформації про виконання Програми є відділ </w:t>
      </w:r>
      <w:r w:rsidRPr="00EB0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обліку, звітност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</w:t>
      </w:r>
      <w:r w:rsidRPr="00EB0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фінансового-гос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EB0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одарського забезпечення Арцизької міської ради.</w:t>
      </w:r>
    </w:p>
    <w:p w:rsidR="00321408" w:rsidRDefault="00321408" w:rsidP="003214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21408" w:rsidRPr="00432850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Додаток 1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2D7ED1">
        <w:rPr>
          <w:rFonts w:ascii="Times New Roman" w:hAnsi="Times New Roman" w:cs="Times New Roman"/>
          <w:sz w:val="24"/>
          <w:szCs w:val="24"/>
          <w:lang w:val="uk-UA" w:eastAsia="ru-RU"/>
        </w:rPr>
        <w:t>до П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рограми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підтримки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Збройних С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ил України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>та підрозділів територіальної оборони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розташованих на території Арцизької міської </w:t>
      </w:r>
    </w:p>
    <w:p w:rsidR="00321408" w:rsidRDefault="00321408" w:rsidP="00321408">
      <w:pPr>
        <w:pStyle w:val="a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2023 рік</w:t>
      </w:r>
    </w:p>
    <w:p w:rsidR="00321408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</w:p>
    <w:p w:rsidR="00321408" w:rsidRPr="007F2FB4" w:rsidRDefault="00321408" w:rsidP="003214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 xml:space="preserve">Паспорт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П</w:t>
      </w: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рограми</w:t>
      </w:r>
    </w:p>
    <w:tbl>
      <w:tblPr>
        <w:tblW w:w="1040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4100"/>
        <w:gridCol w:w="5812"/>
      </w:tblGrid>
      <w:tr w:rsidR="00321408" w:rsidRPr="00574368" w:rsidTr="00843F0B">
        <w:trPr>
          <w:trHeight w:val="347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Ініціатор розробки Програми </w:t>
            </w:r>
          </w:p>
        </w:tc>
        <w:tc>
          <w:tcPr>
            <w:tcW w:w="5812" w:type="dxa"/>
          </w:tcPr>
          <w:p w:rsidR="00321408" w:rsidRPr="007F2FB4" w:rsidRDefault="00321408" w:rsidP="00843F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321408" w:rsidRPr="007B4551" w:rsidTr="00843F0B">
        <w:trPr>
          <w:trHeight w:val="306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812" w:type="dxa"/>
          </w:tcPr>
          <w:p w:rsidR="00321408" w:rsidRPr="007F2FB4" w:rsidRDefault="00321408" w:rsidP="00843F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Фінансове управління Арцизької міської ради</w:t>
            </w:r>
          </w:p>
        </w:tc>
      </w:tr>
      <w:tr w:rsidR="00321408" w:rsidRPr="00574368" w:rsidTr="00843F0B">
        <w:trPr>
          <w:trHeight w:val="245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812" w:type="dxa"/>
            <w:vAlign w:val="center"/>
          </w:tcPr>
          <w:p w:rsidR="00321408" w:rsidRDefault="00321408" w:rsidP="0084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  <w:p w:rsidR="00321408" w:rsidRPr="007F2FB4" w:rsidRDefault="00321408" w:rsidP="0084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2B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Арцизької міської ради (в частині міжбюджетного трансферту)</w:t>
            </w:r>
          </w:p>
        </w:tc>
      </w:tr>
      <w:tr w:rsidR="00321408" w:rsidRPr="00574368" w:rsidTr="00843F0B">
        <w:trPr>
          <w:trHeight w:val="1032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Учасники Програми та виконавці заходів </w:t>
            </w:r>
          </w:p>
        </w:tc>
        <w:tc>
          <w:tcPr>
            <w:tcW w:w="5812" w:type="dxa"/>
            <w:vAlign w:val="center"/>
          </w:tcPr>
          <w:p w:rsidR="00321408" w:rsidRDefault="00321408" w:rsidP="00843F0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  <w:p w:rsidR="00321408" w:rsidRPr="007F2FB4" w:rsidRDefault="00321408" w:rsidP="00843F0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КП «Комфорт-16»</w:t>
            </w:r>
          </w:p>
        </w:tc>
      </w:tr>
      <w:tr w:rsidR="00321408" w:rsidRPr="00574368" w:rsidTr="00843F0B">
        <w:trPr>
          <w:trHeight w:val="208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Мета Програми </w:t>
            </w:r>
          </w:p>
        </w:tc>
        <w:tc>
          <w:tcPr>
            <w:tcW w:w="5812" w:type="dxa"/>
          </w:tcPr>
          <w:p w:rsidR="00321408" w:rsidRPr="007F2FB4" w:rsidRDefault="00321408" w:rsidP="00843F0B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Здійснення </w:t>
            </w: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заходів щодо матеріально-технічного забезпечення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військової частини А7350</w:t>
            </w:r>
          </w:p>
        </w:tc>
      </w:tr>
      <w:tr w:rsidR="00321408" w:rsidRPr="00574368" w:rsidTr="00843F0B">
        <w:trPr>
          <w:trHeight w:val="348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Нормативно-правова основа розроблення Програми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Закони України «Про місцеве самоврядування в Україні», «Про оборону України», «Про З</w:t>
            </w:r>
            <w:r w:rsidRPr="00B1003A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бройні Сили України», «Про військовий обов’язок і військову службу», «Про основи національного спротиву»</w:t>
            </w:r>
          </w:p>
        </w:tc>
      </w:tr>
      <w:tr w:rsidR="00321408" w:rsidRPr="00574368" w:rsidTr="00843F0B">
        <w:trPr>
          <w:trHeight w:val="270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2023 рік</w:t>
            </w:r>
          </w:p>
        </w:tc>
      </w:tr>
      <w:tr w:rsidR="00321408" w:rsidRPr="007B4551" w:rsidTr="00843F0B">
        <w:trPr>
          <w:trHeight w:val="332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  Програми - всього, в тому числі (за джерелами фінансування та етапами)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тис. грн.</w:t>
            </w: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4927,8</w:t>
            </w:r>
          </w:p>
        </w:tc>
      </w:tr>
      <w:tr w:rsidR="00321408" w:rsidRPr="00EB090E" w:rsidTr="00843F0B">
        <w:trPr>
          <w:trHeight w:val="912"/>
        </w:trPr>
        <w:tc>
          <w:tcPr>
            <w:tcW w:w="492" w:type="dxa"/>
          </w:tcPr>
          <w:p w:rsidR="00321408" w:rsidRPr="007F2FB4" w:rsidRDefault="00321408" w:rsidP="00843F0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B45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00" w:type="dxa"/>
          </w:tcPr>
          <w:p w:rsidR="00321408" w:rsidRPr="007F2FB4" w:rsidRDefault="00321408" w:rsidP="0084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бюджету Арцизької міської територіальної  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тис. грн.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4927,8</w:t>
            </w:r>
          </w:p>
        </w:tc>
      </w:tr>
      <w:tr w:rsidR="00321408" w:rsidRPr="00574368" w:rsidTr="00843F0B">
        <w:trPr>
          <w:trHeight w:val="332"/>
        </w:trPr>
        <w:tc>
          <w:tcPr>
            <w:tcW w:w="492" w:type="dxa"/>
          </w:tcPr>
          <w:p w:rsidR="00321408" w:rsidRPr="007F2FB4" w:rsidRDefault="00321408" w:rsidP="00843F0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8.2</w:t>
            </w:r>
          </w:p>
        </w:tc>
        <w:tc>
          <w:tcPr>
            <w:tcW w:w="4100" w:type="dxa"/>
          </w:tcPr>
          <w:p w:rsidR="00321408" w:rsidRPr="007F2FB4" w:rsidRDefault="00321408" w:rsidP="0084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інших джерел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тис. грн.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</w:p>
        </w:tc>
      </w:tr>
      <w:tr w:rsidR="00321408" w:rsidRPr="002D7ED1" w:rsidTr="00843F0B">
        <w:trPr>
          <w:trHeight w:val="265"/>
        </w:trPr>
        <w:tc>
          <w:tcPr>
            <w:tcW w:w="492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Очікувані результати виконання Програми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EB09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ідвищення рівня функціонування підрозділів територіальної оборони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розташованих на території Арцизької міської територіальної громади</w:t>
            </w:r>
            <w:r w:rsidRPr="00EB09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військових частин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Збройних Сил України</w:t>
            </w:r>
          </w:p>
        </w:tc>
      </w:tr>
      <w:tr w:rsidR="00321408" w:rsidRPr="002D7ED1" w:rsidTr="00843F0B">
        <w:trPr>
          <w:trHeight w:val="234"/>
        </w:trPr>
        <w:tc>
          <w:tcPr>
            <w:tcW w:w="492" w:type="dxa"/>
            <w:tcMar>
              <w:left w:w="57" w:type="dxa"/>
              <w:right w:w="57" w:type="dxa"/>
            </w:tcMar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100" w:type="dxa"/>
            <w:vAlign w:val="center"/>
          </w:tcPr>
          <w:p w:rsidR="00321408" w:rsidRPr="007F2FB4" w:rsidRDefault="00321408" w:rsidP="00843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Контроль за виконанням Програми</w:t>
            </w:r>
          </w:p>
        </w:tc>
        <w:tc>
          <w:tcPr>
            <w:tcW w:w="5812" w:type="dxa"/>
            <w:vAlign w:val="center"/>
          </w:tcPr>
          <w:p w:rsidR="00321408" w:rsidRPr="007F2FB4" w:rsidRDefault="00321408" w:rsidP="00843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Постійна комісія з питань фінансів, бюджету, соціально-економічного розвитку та інвестиційної діяльності</w:t>
            </w:r>
          </w:p>
        </w:tc>
      </w:tr>
    </w:tbl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</w:t>
      </w:r>
    </w:p>
    <w:p w:rsidR="00321408" w:rsidRPr="00432850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Додаток 2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:rsidR="00321408" w:rsidRPr="00B1003A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2D7ED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до П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рограми підтримки Збройних С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ил України                       </w:t>
      </w:r>
    </w:p>
    <w:p w:rsidR="00321408" w:rsidRPr="00B1003A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та підрозділів територіальної оборони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21408" w:rsidRPr="00B1003A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розташованих на території Арцизької міської </w:t>
      </w:r>
    </w:p>
    <w:p w:rsidR="00321408" w:rsidRDefault="00321408" w:rsidP="00321408">
      <w:pPr>
        <w:pStyle w:val="a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2023 рік</w:t>
      </w:r>
    </w:p>
    <w:p w:rsidR="00321408" w:rsidRDefault="00321408" w:rsidP="0032140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408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1408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1408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1408" w:rsidRPr="007F2FB4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забезпечення</w:t>
      </w:r>
    </w:p>
    <w:p w:rsidR="00321408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програми підтримки Збройних С</w:t>
      </w:r>
      <w:r w:rsidRPr="00B100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ил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України </w:t>
      </w:r>
      <w:r w:rsidRPr="00B100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та підр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озділів територіальної оборони, </w:t>
      </w:r>
      <w:r w:rsidRPr="00B100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розташованих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 території Арцизької міської </w:t>
      </w:r>
      <w:r w:rsidRPr="00B100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</w:t>
      </w:r>
      <w:r w:rsidRPr="00B100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2023 рік</w:t>
      </w:r>
    </w:p>
    <w:p w:rsidR="00321408" w:rsidRPr="007F2FB4" w:rsidRDefault="00321408" w:rsidP="0032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-17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6"/>
        <w:gridCol w:w="4892"/>
      </w:tblGrid>
      <w:tr w:rsidR="00321408" w:rsidRPr="007F2FB4" w:rsidTr="00843F0B">
        <w:trPr>
          <w:trHeight w:val="1430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shd w:val="clear" w:color="auto" w:fill="FFFFFF"/>
              <w:spacing w:after="0" w:line="240" w:lineRule="auto"/>
              <w:ind w:left="3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  <w:tc>
          <w:tcPr>
            <w:tcW w:w="48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Обсяг коштів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,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які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 xml:space="preserve">пропонується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 w:eastAsia="ru-RU"/>
              </w:rPr>
              <w:t xml:space="preserve">залучити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для 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у 2023 році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(тис.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21408" w:rsidRPr="007F2FB4" w:rsidTr="00843F0B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Арцизької міської територіальної громади </w:t>
            </w:r>
          </w:p>
        </w:tc>
        <w:tc>
          <w:tcPr>
            <w:tcW w:w="4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4927,8</w:t>
            </w:r>
          </w:p>
        </w:tc>
      </w:tr>
      <w:tr w:rsidR="00321408" w:rsidRPr="007F2FB4" w:rsidTr="00843F0B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4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321408" w:rsidRPr="007F2FB4" w:rsidTr="00843F0B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4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408" w:rsidRPr="007F2FB4" w:rsidRDefault="00321408" w:rsidP="00843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4927,8</w:t>
            </w:r>
          </w:p>
        </w:tc>
      </w:tr>
    </w:tbl>
    <w:p w:rsidR="00321408" w:rsidRDefault="00321408" w:rsidP="0032140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321408" w:rsidSect="006C0E7B">
          <w:pgSz w:w="11906" w:h="16838"/>
          <w:pgMar w:top="1134" w:right="709" w:bottom="1134" w:left="851" w:header="709" w:footer="709" w:gutter="0"/>
          <w:cols w:space="708"/>
          <w:docGrid w:linePitch="360"/>
        </w:sectPr>
      </w:pPr>
    </w:p>
    <w:p w:rsidR="00321408" w:rsidRPr="0093483C" w:rsidRDefault="00321408" w:rsidP="0032140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r w:rsidR="002D7E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</w:t>
      </w:r>
      <w:bookmarkStart w:id="0" w:name="_GoBack"/>
      <w:bookmarkEnd w:id="0"/>
      <w:r w:rsidR="002D7ED1">
        <w:rPr>
          <w:rFonts w:ascii="Times New Roman" w:hAnsi="Times New Roman" w:cs="Times New Roman"/>
          <w:sz w:val="24"/>
          <w:szCs w:val="24"/>
          <w:lang w:val="uk-UA" w:eastAsia="ru-RU"/>
        </w:rPr>
        <w:t>до П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рограми підтримки Збройних С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>ил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України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>та підр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озділів територіальної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Оборони,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розташованих на території </w:t>
      </w:r>
    </w:p>
    <w:p w:rsidR="00321408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Арцизької міської 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територіальної </w:t>
      </w:r>
    </w:p>
    <w:p w:rsidR="00321408" w:rsidRPr="00D024FA" w:rsidRDefault="00321408" w:rsidP="0032140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г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>ромади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B100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2023 рік</w:t>
      </w:r>
    </w:p>
    <w:p w:rsidR="00321408" w:rsidRDefault="00321408" w:rsidP="0032140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21408" w:rsidRPr="001E735D" w:rsidRDefault="00321408" w:rsidP="0032140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Напрямки</w:t>
      </w:r>
      <w:r w:rsidRPr="001E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діяльності</w:t>
      </w:r>
      <w:r w:rsidRPr="001E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заходи</w:t>
      </w:r>
    </w:p>
    <w:p w:rsidR="00321408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програми підтримки Збройних С</w:t>
      </w:r>
      <w:r w:rsidRPr="00D024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ил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України </w:t>
      </w:r>
      <w:r w:rsidRPr="00D024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та підрозділів територіальн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ої оборони, </w:t>
      </w:r>
      <w:r w:rsidRPr="00D024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розташованих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 території Арцизької міської </w:t>
      </w:r>
      <w:r w:rsidRPr="00D024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</w:t>
      </w:r>
      <w:r w:rsidRPr="00D024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2023 рік</w:t>
      </w:r>
    </w:p>
    <w:p w:rsidR="00321408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686"/>
        <w:gridCol w:w="1418"/>
        <w:gridCol w:w="1984"/>
        <w:gridCol w:w="1874"/>
        <w:gridCol w:w="1811"/>
        <w:gridCol w:w="1559"/>
      </w:tblGrid>
      <w:tr w:rsidR="00321408" w:rsidTr="00843F0B">
        <w:tc>
          <w:tcPr>
            <w:tcW w:w="534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551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 напряму діяльності (пріоритетні завдання)</w:t>
            </w:r>
          </w:p>
        </w:tc>
        <w:tc>
          <w:tcPr>
            <w:tcW w:w="3686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418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Строк виконання заходу</w:t>
            </w:r>
          </w:p>
        </w:tc>
        <w:tc>
          <w:tcPr>
            <w:tcW w:w="1984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Виконавці заходу</w:t>
            </w:r>
          </w:p>
        </w:tc>
        <w:tc>
          <w:tcPr>
            <w:tcW w:w="1874" w:type="dxa"/>
          </w:tcPr>
          <w:p w:rsidR="00321408" w:rsidRPr="00A5596D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A55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Орієнтовані обсяги фінансування,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A55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1811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1559" w:type="dxa"/>
          </w:tcPr>
          <w:p w:rsidR="00321408" w:rsidRPr="00D024FA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321408" w:rsidRPr="00A5596D" w:rsidTr="00843F0B">
        <w:trPr>
          <w:trHeight w:val="363"/>
        </w:trPr>
        <w:tc>
          <w:tcPr>
            <w:tcW w:w="534" w:type="dxa"/>
            <w:vMerge w:val="restart"/>
          </w:tcPr>
          <w:p w:rsidR="00321408" w:rsidRPr="00102CE9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02C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14883" w:type="dxa"/>
            <w:gridSpan w:val="7"/>
          </w:tcPr>
          <w:p w:rsidR="00321408" w:rsidRPr="0019432A" w:rsidRDefault="00321408" w:rsidP="00843F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Матеріально-технічне забезпечення</w:t>
            </w:r>
          </w:p>
        </w:tc>
      </w:tr>
      <w:tr w:rsidR="00321408" w:rsidRPr="002D7ED1" w:rsidTr="00843F0B">
        <w:trPr>
          <w:trHeight w:val="473"/>
        </w:trPr>
        <w:tc>
          <w:tcPr>
            <w:tcW w:w="534" w:type="dxa"/>
            <w:vMerge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513" w:type="dxa"/>
            <w:gridSpan w:val="5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1.1. Придбання предметів, матеріалів, обладнання та інвентарю: </w:t>
            </w:r>
          </w:p>
        </w:tc>
        <w:tc>
          <w:tcPr>
            <w:tcW w:w="1811" w:type="dxa"/>
            <w:vMerge w:val="restart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Кошти бюджету Арцизької міської територіальної громади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Підвищення рівня </w:t>
            </w:r>
            <w:r w:rsidRPr="00AF4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функціонування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військових частин Збройних Сил України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A5596D" w:rsidTr="00843F0B">
        <w:trPr>
          <w:trHeight w:val="2160"/>
        </w:trPr>
        <w:tc>
          <w:tcPr>
            <w:tcW w:w="534" w:type="dxa"/>
            <w:vMerge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військової частини А7350</w:t>
            </w:r>
          </w:p>
        </w:tc>
        <w:tc>
          <w:tcPr>
            <w:tcW w:w="3686" w:type="dxa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запчастини, мастила, вогнегасники, аптечки та інструменти для автомобілів;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 канцелярські товари;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 оргтехніка (багатофункціональний пристрій, картридж), телевізор, акустична система);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4) прилад високочастотного шуму мобільний</w:t>
            </w:r>
          </w:p>
        </w:tc>
        <w:tc>
          <w:tcPr>
            <w:tcW w:w="1418" w:type="dxa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2023 рік</w:t>
            </w:r>
          </w:p>
        </w:tc>
        <w:tc>
          <w:tcPr>
            <w:tcW w:w="1984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AB77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Арцизька</w:t>
            </w:r>
            <w:proofErr w:type="spellEnd"/>
            <w:r w:rsidRPr="00AB77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міська 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КП «Комфорт-16»</w:t>
            </w:r>
          </w:p>
        </w:tc>
        <w:tc>
          <w:tcPr>
            <w:tcW w:w="1874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1014,0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75,6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287,6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11,5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A5596D" w:rsidTr="00843F0B">
        <w:trPr>
          <w:trHeight w:val="362"/>
        </w:trPr>
        <w:tc>
          <w:tcPr>
            <w:tcW w:w="534" w:type="dxa"/>
            <w:vMerge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639" w:type="dxa"/>
            <w:gridSpan w:val="4"/>
          </w:tcPr>
          <w:p w:rsidR="00321408" w:rsidRPr="00102CE9" w:rsidRDefault="00321408" w:rsidP="00843F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874" w:type="dxa"/>
          </w:tcPr>
          <w:p w:rsidR="00321408" w:rsidRPr="00102CE9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1388,7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102CE9" w:rsidTr="00843F0B">
        <w:tc>
          <w:tcPr>
            <w:tcW w:w="534" w:type="dxa"/>
            <w:vMerge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513" w:type="dxa"/>
            <w:gridSpan w:val="5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 П</w:t>
            </w:r>
            <w:r w:rsidRPr="004F74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ридбання обладнання і 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ів довгострокового користування </w:t>
            </w:r>
          </w:p>
        </w:tc>
        <w:tc>
          <w:tcPr>
            <w:tcW w:w="1811" w:type="dxa"/>
            <w:vMerge/>
            <w:vAlign w:val="center"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102CE9" w:rsidTr="00843F0B">
        <w:tc>
          <w:tcPr>
            <w:tcW w:w="534" w:type="dxa"/>
            <w:vMerge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2C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військової частини А7350</w:t>
            </w:r>
          </w:p>
        </w:tc>
        <w:tc>
          <w:tcPr>
            <w:tcW w:w="3686" w:type="dxa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ноутбуки;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 мультимедійний портативний проектор з акумулятором;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3) прожектор ручний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світлодіодний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зенітно-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пошуковий до 2000 м</w:t>
            </w:r>
          </w:p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4) шредер офісний (рівень безпеки 6, знищення скоб, скріпок, рівень шуму 55дБ)</w:t>
            </w:r>
          </w:p>
        </w:tc>
        <w:tc>
          <w:tcPr>
            <w:tcW w:w="1418" w:type="dxa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2023 рік</w:t>
            </w:r>
          </w:p>
        </w:tc>
        <w:tc>
          <w:tcPr>
            <w:tcW w:w="1984" w:type="dxa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міська рада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КП «Комфорт-16»</w:t>
            </w:r>
          </w:p>
        </w:tc>
        <w:tc>
          <w:tcPr>
            <w:tcW w:w="1874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220,0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35,0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207,7</w:t>
            </w: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76,4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9E645F" w:rsidTr="00843F0B">
        <w:tc>
          <w:tcPr>
            <w:tcW w:w="534" w:type="dxa"/>
          </w:tcPr>
          <w:p w:rsidR="00321408" w:rsidRPr="009E645F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639" w:type="dxa"/>
            <w:gridSpan w:val="4"/>
          </w:tcPr>
          <w:p w:rsidR="00321408" w:rsidRPr="004D38E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D38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874" w:type="dxa"/>
          </w:tcPr>
          <w:p w:rsidR="00321408" w:rsidRPr="004D38E3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539,1 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9E645F" w:rsidTr="00843F0B">
        <w:tc>
          <w:tcPr>
            <w:tcW w:w="534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1513" w:type="dxa"/>
            <w:gridSpan w:val="5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</w:t>
            </w:r>
            <w:r w:rsidRPr="00C93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іжбюджетн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ий трансферт іншої субвенції до </w:t>
            </w:r>
            <w:r w:rsidRPr="00C93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обласного бюджету Одеської області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9E645F" w:rsidTr="00843F0B">
        <w:tc>
          <w:tcPr>
            <w:tcW w:w="534" w:type="dxa"/>
          </w:tcPr>
          <w:p w:rsidR="00321408" w:rsidRPr="009E645F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321408" w:rsidRPr="00102CE9" w:rsidRDefault="00321408" w:rsidP="0032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Збройні</w:t>
            </w:r>
            <w:r w:rsidRPr="009E6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Сил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ТРО </w:t>
            </w:r>
            <w:r w:rsidRPr="009E6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686" w:type="dxa"/>
          </w:tcPr>
          <w:p w:rsidR="00321408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936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Централізоване забезпечення необхідної матеріально технічної бази, військовим обладнанням та технікою для Збройних Сил України за поданнями потреб командування Збройних Сил України</w:t>
            </w:r>
          </w:p>
        </w:tc>
        <w:tc>
          <w:tcPr>
            <w:tcW w:w="1418" w:type="dxa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2023 рік</w:t>
            </w:r>
          </w:p>
        </w:tc>
        <w:tc>
          <w:tcPr>
            <w:tcW w:w="1984" w:type="dxa"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Договір між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Арцизькою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міською радою та </w:t>
            </w:r>
            <w:r w:rsidRPr="00C936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Одеською обласною державною (військовою) адміністрацією</w:t>
            </w:r>
          </w:p>
        </w:tc>
        <w:tc>
          <w:tcPr>
            <w:tcW w:w="1874" w:type="dxa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21408" w:rsidRPr="009E645F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E6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3000,0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102CE9" w:rsidTr="00843F0B">
        <w:tc>
          <w:tcPr>
            <w:tcW w:w="534" w:type="dxa"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639" w:type="dxa"/>
            <w:gridSpan w:val="4"/>
          </w:tcPr>
          <w:p w:rsidR="00321408" w:rsidRPr="004D38E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D38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874" w:type="dxa"/>
          </w:tcPr>
          <w:p w:rsidR="00321408" w:rsidRPr="004D38E3" w:rsidRDefault="00321408" w:rsidP="00843F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3000,0 </w:t>
            </w:r>
          </w:p>
        </w:tc>
        <w:tc>
          <w:tcPr>
            <w:tcW w:w="1811" w:type="dxa"/>
            <w:vMerge/>
            <w:vAlign w:val="center"/>
          </w:tcPr>
          <w:p w:rsidR="00321408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vAlign w:val="center"/>
          </w:tcPr>
          <w:p w:rsidR="00321408" w:rsidRPr="003E4C93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21408" w:rsidRPr="000012C6" w:rsidTr="00843F0B">
        <w:tc>
          <w:tcPr>
            <w:tcW w:w="534" w:type="dxa"/>
          </w:tcPr>
          <w:p w:rsidR="00321408" w:rsidRPr="003E4C93" w:rsidRDefault="00321408" w:rsidP="00843F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883" w:type="dxa"/>
            <w:gridSpan w:val="7"/>
          </w:tcPr>
          <w:p w:rsidR="00321408" w:rsidRPr="000012C6" w:rsidRDefault="00321408" w:rsidP="00843F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D38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                                                                          4927,8</w:t>
            </w:r>
          </w:p>
        </w:tc>
      </w:tr>
    </w:tbl>
    <w:p w:rsidR="00321408" w:rsidRPr="00D024FA" w:rsidRDefault="00321408" w:rsidP="00321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024FA" w:rsidRPr="00321408" w:rsidRDefault="00D024FA" w:rsidP="00321408"/>
    <w:sectPr w:rsidR="00D024FA" w:rsidRPr="00321408" w:rsidSect="007F2F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0B30"/>
    <w:multiLevelType w:val="hybridMultilevel"/>
    <w:tmpl w:val="517A0BCA"/>
    <w:lvl w:ilvl="0" w:tplc="FF9E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CA"/>
    <w:rsid w:val="000012C6"/>
    <w:rsid w:val="00032FA1"/>
    <w:rsid w:val="00040F21"/>
    <w:rsid w:val="00055B45"/>
    <w:rsid w:val="000A34AB"/>
    <w:rsid w:val="000F238C"/>
    <w:rsid w:val="000F5BBD"/>
    <w:rsid w:val="00102CE9"/>
    <w:rsid w:val="0014313D"/>
    <w:rsid w:val="00144D93"/>
    <w:rsid w:val="00172408"/>
    <w:rsid w:val="00176320"/>
    <w:rsid w:val="0018683D"/>
    <w:rsid w:val="00191338"/>
    <w:rsid w:val="0019432A"/>
    <w:rsid w:val="001957A3"/>
    <w:rsid w:val="001C1A8D"/>
    <w:rsid w:val="001D4D45"/>
    <w:rsid w:val="001E4E63"/>
    <w:rsid w:val="001E735D"/>
    <w:rsid w:val="001F062E"/>
    <w:rsid w:val="00252E7B"/>
    <w:rsid w:val="0028549C"/>
    <w:rsid w:val="002A12F8"/>
    <w:rsid w:val="002D7ED1"/>
    <w:rsid w:val="002E4C1C"/>
    <w:rsid w:val="002E73E0"/>
    <w:rsid w:val="002F693A"/>
    <w:rsid w:val="002F78DB"/>
    <w:rsid w:val="00321408"/>
    <w:rsid w:val="003358B3"/>
    <w:rsid w:val="00356BBC"/>
    <w:rsid w:val="003744B5"/>
    <w:rsid w:val="003825F9"/>
    <w:rsid w:val="003B13AC"/>
    <w:rsid w:val="003C01CE"/>
    <w:rsid w:val="003C104E"/>
    <w:rsid w:val="003E430C"/>
    <w:rsid w:val="003E4C93"/>
    <w:rsid w:val="003F6988"/>
    <w:rsid w:val="0040615F"/>
    <w:rsid w:val="004139F5"/>
    <w:rsid w:val="00432850"/>
    <w:rsid w:val="004A37EF"/>
    <w:rsid w:val="004D38E3"/>
    <w:rsid w:val="004D621A"/>
    <w:rsid w:val="004E2B5F"/>
    <w:rsid w:val="004E3FBA"/>
    <w:rsid w:val="004F741B"/>
    <w:rsid w:val="004F7424"/>
    <w:rsid w:val="004F7BE6"/>
    <w:rsid w:val="005203C8"/>
    <w:rsid w:val="00526ED4"/>
    <w:rsid w:val="0052743D"/>
    <w:rsid w:val="00527592"/>
    <w:rsid w:val="00574368"/>
    <w:rsid w:val="0058226B"/>
    <w:rsid w:val="005B2460"/>
    <w:rsid w:val="005B517F"/>
    <w:rsid w:val="005B7EED"/>
    <w:rsid w:val="00632E09"/>
    <w:rsid w:val="006543B4"/>
    <w:rsid w:val="00654F3F"/>
    <w:rsid w:val="0068150C"/>
    <w:rsid w:val="00687C46"/>
    <w:rsid w:val="006B00C2"/>
    <w:rsid w:val="006C0E7B"/>
    <w:rsid w:val="007041F6"/>
    <w:rsid w:val="00707C8B"/>
    <w:rsid w:val="007656E8"/>
    <w:rsid w:val="00771BE3"/>
    <w:rsid w:val="007755F3"/>
    <w:rsid w:val="0077714F"/>
    <w:rsid w:val="00783B64"/>
    <w:rsid w:val="00784637"/>
    <w:rsid w:val="007B4551"/>
    <w:rsid w:val="007C782B"/>
    <w:rsid w:val="007E731F"/>
    <w:rsid w:val="007F0145"/>
    <w:rsid w:val="007F1900"/>
    <w:rsid w:val="007F2FB4"/>
    <w:rsid w:val="007F4132"/>
    <w:rsid w:val="00800226"/>
    <w:rsid w:val="00807D08"/>
    <w:rsid w:val="008208B8"/>
    <w:rsid w:val="008258D9"/>
    <w:rsid w:val="00835970"/>
    <w:rsid w:val="00837C17"/>
    <w:rsid w:val="0084619A"/>
    <w:rsid w:val="008711EE"/>
    <w:rsid w:val="008A3BCF"/>
    <w:rsid w:val="008B7697"/>
    <w:rsid w:val="008D4B56"/>
    <w:rsid w:val="00901B86"/>
    <w:rsid w:val="009313C3"/>
    <w:rsid w:val="0093483C"/>
    <w:rsid w:val="0094718D"/>
    <w:rsid w:val="00955612"/>
    <w:rsid w:val="009641A8"/>
    <w:rsid w:val="0099248A"/>
    <w:rsid w:val="009C3A0B"/>
    <w:rsid w:val="009E0ED7"/>
    <w:rsid w:val="009E645F"/>
    <w:rsid w:val="00A0305A"/>
    <w:rsid w:val="00A07AB3"/>
    <w:rsid w:val="00A42407"/>
    <w:rsid w:val="00A5596D"/>
    <w:rsid w:val="00A56B61"/>
    <w:rsid w:val="00A764E6"/>
    <w:rsid w:val="00AA027A"/>
    <w:rsid w:val="00AB2C42"/>
    <w:rsid w:val="00AB7774"/>
    <w:rsid w:val="00AD17CA"/>
    <w:rsid w:val="00AD6B5B"/>
    <w:rsid w:val="00AE1481"/>
    <w:rsid w:val="00AE2D34"/>
    <w:rsid w:val="00AF4372"/>
    <w:rsid w:val="00B1003A"/>
    <w:rsid w:val="00B517AF"/>
    <w:rsid w:val="00B55D47"/>
    <w:rsid w:val="00B60E4E"/>
    <w:rsid w:val="00B67154"/>
    <w:rsid w:val="00B77754"/>
    <w:rsid w:val="00BD10AF"/>
    <w:rsid w:val="00BF4C0E"/>
    <w:rsid w:val="00C0247E"/>
    <w:rsid w:val="00C1509A"/>
    <w:rsid w:val="00C273AE"/>
    <w:rsid w:val="00C42DC9"/>
    <w:rsid w:val="00C45568"/>
    <w:rsid w:val="00C46788"/>
    <w:rsid w:val="00C742DB"/>
    <w:rsid w:val="00C80E57"/>
    <w:rsid w:val="00C8747F"/>
    <w:rsid w:val="00C936A2"/>
    <w:rsid w:val="00C97977"/>
    <w:rsid w:val="00CA2A91"/>
    <w:rsid w:val="00CA523F"/>
    <w:rsid w:val="00CB04AA"/>
    <w:rsid w:val="00CB74D9"/>
    <w:rsid w:val="00D024FA"/>
    <w:rsid w:val="00D15F58"/>
    <w:rsid w:val="00D47235"/>
    <w:rsid w:val="00D90E27"/>
    <w:rsid w:val="00D92B02"/>
    <w:rsid w:val="00DD5910"/>
    <w:rsid w:val="00DD6C7B"/>
    <w:rsid w:val="00DF2C5B"/>
    <w:rsid w:val="00DF7F5C"/>
    <w:rsid w:val="00E2775B"/>
    <w:rsid w:val="00E40FF3"/>
    <w:rsid w:val="00E45236"/>
    <w:rsid w:val="00E61098"/>
    <w:rsid w:val="00E7435A"/>
    <w:rsid w:val="00E74360"/>
    <w:rsid w:val="00E75C85"/>
    <w:rsid w:val="00E80E96"/>
    <w:rsid w:val="00E814AE"/>
    <w:rsid w:val="00EA679A"/>
    <w:rsid w:val="00EB090E"/>
    <w:rsid w:val="00EE56D0"/>
    <w:rsid w:val="00F001C6"/>
    <w:rsid w:val="00F2151C"/>
    <w:rsid w:val="00F91F8D"/>
    <w:rsid w:val="00FE32F6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  <w:style w:type="table" w:styleId="ab">
    <w:name w:val="Table Grid"/>
    <w:basedOn w:val="a1"/>
    <w:uiPriority w:val="59"/>
    <w:rsid w:val="00D02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  <w:style w:type="table" w:styleId="ab">
    <w:name w:val="Table Grid"/>
    <w:basedOn w:val="a1"/>
    <w:uiPriority w:val="59"/>
    <w:rsid w:val="00D02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2B146-DEA3-4FEB-AD1B-FDF2DB39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88</cp:revision>
  <cp:lastPrinted>2023-08-22T07:38:00Z</cp:lastPrinted>
  <dcterms:created xsi:type="dcterms:W3CDTF">2022-03-07T08:45:00Z</dcterms:created>
  <dcterms:modified xsi:type="dcterms:W3CDTF">2023-08-22T10:31:00Z</dcterms:modified>
</cp:coreProperties>
</file>